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6F18" w14:textId="001FDE37" w:rsidR="009F47F2" w:rsidRPr="009F47F2" w:rsidRDefault="009F47F2" w:rsidP="00A37475">
      <w:pPr>
        <w:spacing w:line="276" w:lineRule="auto"/>
        <w:jc w:val="center"/>
        <w:rPr>
          <w:rFonts w:cstheme="minorHAnsi"/>
          <w:b/>
          <w:bCs/>
          <w:sz w:val="24"/>
          <w:szCs w:val="24"/>
          <w:u w:val="single"/>
        </w:rPr>
      </w:pPr>
      <w:r w:rsidRPr="009F47F2">
        <w:rPr>
          <w:rFonts w:cstheme="minorHAnsi"/>
          <w:b/>
          <w:bCs/>
          <w:sz w:val="24"/>
          <w:szCs w:val="24"/>
          <w:u w:val="single"/>
        </w:rPr>
        <w:t>Dodržení zásady DNSH</w:t>
      </w:r>
    </w:p>
    <w:p w14:paraId="482C3E02" w14:textId="77777777" w:rsidR="009F47F2" w:rsidRPr="009F47F2" w:rsidRDefault="009F47F2" w:rsidP="00A37475">
      <w:pPr>
        <w:spacing w:line="276" w:lineRule="auto"/>
        <w:jc w:val="center"/>
        <w:rPr>
          <w:rFonts w:cstheme="minorHAnsi"/>
          <w:b/>
          <w:bCs/>
          <w:u w:val="single"/>
        </w:rPr>
      </w:pPr>
    </w:p>
    <w:p w14:paraId="663B65FE" w14:textId="1D9156A7" w:rsidR="00E929C2" w:rsidRPr="00E929C2" w:rsidRDefault="00E929C2" w:rsidP="00A37475">
      <w:pPr>
        <w:spacing w:line="276" w:lineRule="auto"/>
        <w:jc w:val="both"/>
        <w:rPr>
          <w:rFonts w:cstheme="minorHAnsi"/>
        </w:rPr>
      </w:pPr>
      <w:r w:rsidRPr="00E929C2">
        <w:rPr>
          <w:rFonts w:cstheme="minorHAnsi"/>
        </w:rPr>
        <w:t xml:space="preserve">Veškeré aktivity projektu musí být realizovány v souladu s cíli a zásadami udržitelného rozvoje a zásadou „významně nepoškozovat“ („DNSH“) v oblasti životního prostředí. </w:t>
      </w:r>
    </w:p>
    <w:p w14:paraId="12D1E592" w14:textId="23056B07" w:rsidR="00E929C2" w:rsidRDefault="00E929C2" w:rsidP="00A37475">
      <w:pPr>
        <w:spacing w:line="276" w:lineRule="auto"/>
        <w:jc w:val="both"/>
        <w:rPr>
          <w:rFonts w:cstheme="minorHAnsi"/>
        </w:rPr>
      </w:pPr>
      <w:r w:rsidRPr="00E929C2">
        <w:rPr>
          <w:rFonts w:cstheme="minorHAnsi"/>
        </w:rPr>
        <w:t>Zhotovitel je povinen dodržet níže uvedené parametry, pokud jsou pro předmětný projekt relevantní:</w:t>
      </w:r>
    </w:p>
    <w:p w14:paraId="506A165B" w14:textId="77777777" w:rsidR="009F47F2" w:rsidRPr="009F47F2" w:rsidRDefault="009F47F2" w:rsidP="00A37475">
      <w:pPr>
        <w:spacing w:after="0" w:line="276" w:lineRule="auto"/>
        <w:jc w:val="both"/>
        <w:rPr>
          <w:rFonts w:cstheme="minorHAnsi"/>
        </w:rPr>
      </w:pPr>
    </w:p>
    <w:p w14:paraId="089E69C0" w14:textId="44989342" w:rsidR="00E929C2" w:rsidRPr="00376DE7" w:rsidRDefault="00E929C2" w:rsidP="00376DE7">
      <w:pPr>
        <w:pStyle w:val="Odstavecseseznamem"/>
        <w:numPr>
          <w:ilvl w:val="0"/>
          <w:numId w:val="4"/>
        </w:numPr>
        <w:spacing w:line="276" w:lineRule="auto"/>
        <w:jc w:val="both"/>
        <w:rPr>
          <w:rFonts w:cstheme="minorHAnsi"/>
          <w:b/>
          <w:bCs/>
          <w:u w:val="single"/>
        </w:rPr>
      </w:pPr>
      <w:r w:rsidRPr="00376DE7">
        <w:rPr>
          <w:rFonts w:cstheme="minorHAnsi"/>
          <w:b/>
          <w:bCs/>
          <w:u w:val="single"/>
        </w:rPr>
        <w:t xml:space="preserve">Udržitelné využívání a ochrana vodních zdrojů: </w:t>
      </w:r>
    </w:p>
    <w:p w14:paraId="404B8D84" w14:textId="746226A0" w:rsidR="00E929C2" w:rsidRPr="00E929C2" w:rsidRDefault="00E929C2" w:rsidP="00A37475">
      <w:pPr>
        <w:spacing w:line="276" w:lineRule="auto"/>
        <w:jc w:val="both"/>
        <w:rPr>
          <w:rFonts w:cstheme="minorHAnsi"/>
        </w:rPr>
      </w:pPr>
      <w:r w:rsidRPr="00E929C2">
        <w:rPr>
          <w:rFonts w:cstheme="minorHAnsi"/>
        </w:rPr>
        <w:t xml:space="preserve">Jsou-li instalována tato zařízení k využívání vody, </w:t>
      </w:r>
      <w:r w:rsidR="00B316AB">
        <w:rPr>
          <w:rFonts w:cstheme="minorHAnsi"/>
        </w:rPr>
        <w:t>musí splňovat níže uvedenou max spotřebu vody:</w:t>
      </w:r>
      <w:r w:rsidRPr="00E929C2">
        <w:rPr>
          <w:rFonts w:cstheme="minorHAnsi"/>
        </w:rPr>
        <w:t xml:space="preserve"> </w:t>
      </w:r>
    </w:p>
    <w:p w14:paraId="1130EF0C" w14:textId="77777777" w:rsidR="00A37475" w:rsidRDefault="00E929C2" w:rsidP="00A37475">
      <w:pPr>
        <w:pStyle w:val="Odstavecseseznamem"/>
        <w:numPr>
          <w:ilvl w:val="0"/>
          <w:numId w:val="2"/>
        </w:numPr>
        <w:spacing w:after="120" w:line="276" w:lineRule="auto"/>
        <w:jc w:val="both"/>
        <w:rPr>
          <w:rFonts w:cstheme="minorHAnsi"/>
        </w:rPr>
      </w:pPr>
      <w:r w:rsidRPr="00A37475">
        <w:rPr>
          <w:rFonts w:cstheme="minorHAnsi"/>
        </w:rPr>
        <w:t xml:space="preserve">umyvadlové baterie a kuchyňské baterie mají maximální průtok vody 6 litrů/min; </w:t>
      </w:r>
    </w:p>
    <w:p w14:paraId="70447D88" w14:textId="77777777" w:rsidR="00A37475" w:rsidRDefault="00E929C2" w:rsidP="00A37475">
      <w:pPr>
        <w:pStyle w:val="Odstavecseseznamem"/>
        <w:numPr>
          <w:ilvl w:val="0"/>
          <w:numId w:val="2"/>
        </w:numPr>
        <w:spacing w:after="120" w:line="276" w:lineRule="auto"/>
        <w:jc w:val="both"/>
        <w:rPr>
          <w:rFonts w:cstheme="minorHAnsi"/>
        </w:rPr>
      </w:pPr>
      <w:r w:rsidRPr="00A37475">
        <w:rPr>
          <w:rFonts w:cstheme="minorHAnsi"/>
        </w:rPr>
        <w:t xml:space="preserve">sprchy mají maximální průtok vody 8 litrů/min; </w:t>
      </w:r>
    </w:p>
    <w:p w14:paraId="2DC97EE1" w14:textId="77777777" w:rsidR="00A37475" w:rsidRDefault="00E929C2" w:rsidP="00A37475">
      <w:pPr>
        <w:pStyle w:val="Odstavecseseznamem"/>
        <w:numPr>
          <w:ilvl w:val="0"/>
          <w:numId w:val="2"/>
        </w:numPr>
        <w:spacing w:after="120" w:line="276" w:lineRule="auto"/>
        <w:jc w:val="both"/>
        <w:rPr>
          <w:rFonts w:cstheme="minorHAnsi"/>
        </w:rPr>
      </w:pPr>
      <w:r w:rsidRPr="00A37475">
        <w:rPr>
          <w:rFonts w:cstheme="minorHAnsi"/>
        </w:rPr>
        <w:t xml:space="preserve">WC, zahrnující soupravy, mísy a splachovací nádrže, mají úplný objem splachovací vody maximálně 6 litrů a maximální průměrný objem splachovací vody 3,75 litru (vypočteno dle vzorce Va1 = (Vf2 + (3 × Vr3)) /4); </w:t>
      </w:r>
    </w:p>
    <w:p w14:paraId="18DE36C4" w14:textId="6541F10D" w:rsidR="00E929C2" w:rsidRPr="00A37475" w:rsidRDefault="00E929C2" w:rsidP="00B316AB">
      <w:pPr>
        <w:pStyle w:val="Odstavecseseznamem"/>
        <w:numPr>
          <w:ilvl w:val="0"/>
          <w:numId w:val="2"/>
        </w:numPr>
        <w:spacing w:after="240" w:line="276" w:lineRule="auto"/>
        <w:ind w:left="357" w:hanging="357"/>
        <w:contextualSpacing w:val="0"/>
        <w:jc w:val="both"/>
        <w:rPr>
          <w:rFonts w:cstheme="minorHAnsi"/>
        </w:rPr>
      </w:pPr>
      <w:r w:rsidRPr="00A37475">
        <w:rPr>
          <w:rFonts w:cstheme="minorHAnsi"/>
        </w:rPr>
        <w:t xml:space="preserve">pisoáry spotřebují maximálně 2 litry/mísu/hodinu. Splachovací pisoáry mají maximální úplný objem splachovací vody 1 litr. </w:t>
      </w:r>
    </w:p>
    <w:p w14:paraId="31DC3B3D" w14:textId="771E4001" w:rsidR="00E929C2" w:rsidRDefault="00531420" w:rsidP="00A37475">
      <w:pPr>
        <w:spacing w:after="0" w:line="276" w:lineRule="auto"/>
        <w:jc w:val="both"/>
        <w:rPr>
          <w:rFonts w:cstheme="minorHAnsi"/>
          <w:b/>
          <w:bCs/>
          <w:i/>
          <w:iCs/>
        </w:rPr>
      </w:pPr>
      <w:r w:rsidRPr="00531420">
        <w:rPr>
          <w:rFonts w:cstheme="minorHAnsi"/>
          <w:b/>
          <w:bCs/>
          <w:i/>
          <w:iCs/>
        </w:rPr>
        <w:t>Uveďte přehled instalovaných typů zařízení (typové označení výrobku) pro používání vody v projektu s informací, že splňují technické parametry (příp. jaká dodatečná zařízení vedoucí ke splnění parametrů byla instalována)</w:t>
      </w:r>
      <w:r>
        <w:rPr>
          <w:rFonts w:cstheme="minorHAnsi"/>
          <w:b/>
          <w:bCs/>
          <w:i/>
          <w:iCs/>
        </w:rPr>
        <w:t xml:space="preserve"> – je možné čerpat ze Závěrečné zprávy TDI. Je třeba předložit technické </w:t>
      </w:r>
      <w:r w:rsidR="00B316AB" w:rsidRPr="00B316AB">
        <w:rPr>
          <w:rFonts w:cstheme="minorHAnsi"/>
          <w:b/>
          <w:bCs/>
          <w:i/>
          <w:iCs/>
        </w:rPr>
        <w:t>výrobku, stavební certifikací nebo stávající štíte</w:t>
      </w:r>
      <w:r w:rsidR="00B316AB">
        <w:rPr>
          <w:rFonts w:cstheme="minorHAnsi"/>
          <w:b/>
          <w:bCs/>
          <w:i/>
          <w:iCs/>
        </w:rPr>
        <w:t>k</w:t>
      </w:r>
      <w:r w:rsidR="00B316AB" w:rsidRPr="00B316AB">
        <w:rPr>
          <w:rFonts w:cstheme="minorHAnsi"/>
          <w:b/>
          <w:bCs/>
          <w:i/>
          <w:iCs/>
        </w:rPr>
        <w:t xml:space="preserve"> výrobku v</w:t>
      </w:r>
      <w:r w:rsidR="00B316AB">
        <w:rPr>
          <w:rFonts w:cstheme="minorHAnsi"/>
          <w:b/>
          <w:bCs/>
          <w:i/>
          <w:iCs/>
        </w:rPr>
        <w:t> </w:t>
      </w:r>
      <w:r w:rsidR="00B316AB" w:rsidRPr="00B316AB">
        <w:rPr>
          <w:rFonts w:cstheme="minorHAnsi"/>
          <w:b/>
          <w:bCs/>
          <w:i/>
          <w:iCs/>
        </w:rPr>
        <w:t>EU</w:t>
      </w:r>
      <w:r w:rsidR="00B316AB">
        <w:rPr>
          <w:rFonts w:cstheme="minorHAnsi"/>
          <w:b/>
          <w:bCs/>
          <w:i/>
          <w:iCs/>
        </w:rPr>
        <w:t>.</w:t>
      </w:r>
    </w:p>
    <w:p w14:paraId="460DE68B" w14:textId="77777777" w:rsidR="00A37475" w:rsidRPr="00531420" w:rsidRDefault="00A37475" w:rsidP="00A37475">
      <w:pPr>
        <w:spacing w:after="0" w:line="276" w:lineRule="auto"/>
        <w:jc w:val="both"/>
        <w:rPr>
          <w:rFonts w:cstheme="minorHAnsi"/>
          <w:b/>
          <w:bCs/>
          <w:i/>
          <w:iCs/>
        </w:rPr>
      </w:pPr>
    </w:p>
    <w:p w14:paraId="4A49BA50" w14:textId="77777777" w:rsidR="00531420" w:rsidRDefault="00531420" w:rsidP="00A37475">
      <w:pPr>
        <w:spacing w:after="0" w:line="276" w:lineRule="auto"/>
        <w:jc w:val="both"/>
        <w:rPr>
          <w:rFonts w:cstheme="minorHAnsi"/>
          <w:b/>
          <w:bCs/>
        </w:rPr>
      </w:pPr>
    </w:p>
    <w:p w14:paraId="1FE7C091" w14:textId="3F003C22" w:rsidR="00E929C2" w:rsidRPr="00376DE7" w:rsidRDefault="00E929C2" w:rsidP="00376DE7">
      <w:pPr>
        <w:pStyle w:val="Odstavecseseznamem"/>
        <w:numPr>
          <w:ilvl w:val="0"/>
          <w:numId w:val="4"/>
        </w:numPr>
        <w:spacing w:line="276" w:lineRule="auto"/>
        <w:jc w:val="both"/>
        <w:rPr>
          <w:rFonts w:cstheme="minorHAnsi"/>
          <w:b/>
          <w:bCs/>
          <w:u w:val="single"/>
        </w:rPr>
      </w:pPr>
      <w:r w:rsidRPr="00376DE7">
        <w:rPr>
          <w:rFonts w:cstheme="minorHAnsi"/>
          <w:b/>
          <w:bCs/>
          <w:u w:val="single"/>
        </w:rPr>
        <w:t xml:space="preserve">Přechod na oběhové hospodářství: </w:t>
      </w:r>
    </w:p>
    <w:p w14:paraId="18D33978" w14:textId="77777777" w:rsidR="00E929C2" w:rsidRPr="00E929C2" w:rsidRDefault="00E929C2" w:rsidP="00A37475">
      <w:pPr>
        <w:spacing w:after="120" w:line="276" w:lineRule="auto"/>
        <w:jc w:val="both"/>
        <w:rPr>
          <w:rFonts w:cstheme="minorHAnsi"/>
        </w:rPr>
      </w:pPr>
      <w:r w:rsidRPr="00E929C2">
        <w:rPr>
          <w:rFonts w:cstheme="minorHAnsi"/>
        </w:rPr>
        <w:t xml:space="preserve">Nejméně 70 % (hmotnostních) stavebního a demoličního odpadu neklasifikovaného jako nebezpečný (s výjimkou v přírodě se vyskytujících materiálů uvedených v kategorii 17 05 04 v Evropském seznamu odpadů stanoveném rozhodnutím 2000/532/ES) vzniklého na staveništi musí být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w:t>
      </w:r>
    </w:p>
    <w:p w14:paraId="7A506C4F" w14:textId="0A6B1FDA" w:rsidR="00E929C2" w:rsidRDefault="00E929C2" w:rsidP="00A37475">
      <w:pPr>
        <w:spacing w:after="240" w:line="276" w:lineRule="auto"/>
        <w:jc w:val="both"/>
        <w:rPr>
          <w:rFonts w:cstheme="minorHAnsi"/>
        </w:rPr>
      </w:pPr>
      <w:r w:rsidRPr="00E929C2">
        <w:rPr>
          <w:rFonts w:cstheme="minorHAnsi"/>
        </w:rPr>
        <w:t>Pro plnění podmínky DNSH není nutné splnit definici odpadu dle zákona č. 541/2020 Sb.</w:t>
      </w:r>
      <w:r w:rsidR="00C543AD">
        <w:rPr>
          <w:rStyle w:val="Znakapoznpodarou"/>
          <w:rFonts w:cstheme="minorHAnsi"/>
        </w:rPr>
        <w:footnoteReference w:id="1"/>
      </w:r>
      <w:r w:rsidRPr="00E929C2">
        <w:rPr>
          <w:rFonts w:cstheme="minorHAnsi"/>
        </w:rPr>
        <w:t xml:space="preserve">, o odpadech – lze započítat i další druhy materiálů, které jsou ihned využity na staveništi a které se formálně nestanou odpadem dle zákona. </w:t>
      </w:r>
    </w:p>
    <w:p w14:paraId="62C72A01" w14:textId="77777777" w:rsidR="00531420" w:rsidRPr="00531420" w:rsidRDefault="00531420" w:rsidP="00A37475">
      <w:pPr>
        <w:pStyle w:val="Odstavecseseznamem"/>
        <w:numPr>
          <w:ilvl w:val="0"/>
          <w:numId w:val="1"/>
        </w:numPr>
        <w:spacing w:line="276" w:lineRule="auto"/>
        <w:jc w:val="both"/>
        <w:rPr>
          <w:rFonts w:cstheme="minorHAnsi"/>
          <w:b/>
          <w:bCs/>
          <w:i/>
          <w:iCs/>
        </w:rPr>
      </w:pPr>
      <w:r w:rsidRPr="00531420">
        <w:rPr>
          <w:rFonts w:cstheme="minorHAnsi"/>
          <w:b/>
          <w:bCs/>
          <w:i/>
          <w:iCs/>
        </w:rPr>
        <w:lastRenderedPageBreak/>
        <w:t xml:space="preserve">Je třeba porovnat plán přípravy se skutečností, případné odchylky je nutné odůvodnit </w:t>
      </w:r>
    </w:p>
    <w:p w14:paraId="783EA487" w14:textId="5401EA7B" w:rsidR="00531420" w:rsidRPr="00531420" w:rsidRDefault="00531420" w:rsidP="00A37475">
      <w:pPr>
        <w:pStyle w:val="Odstavecseseznamem"/>
        <w:numPr>
          <w:ilvl w:val="0"/>
          <w:numId w:val="1"/>
        </w:numPr>
        <w:spacing w:line="276" w:lineRule="auto"/>
        <w:jc w:val="both"/>
        <w:rPr>
          <w:rFonts w:cstheme="minorHAnsi"/>
          <w:b/>
          <w:bCs/>
          <w:i/>
          <w:iCs/>
        </w:rPr>
      </w:pPr>
      <w:r w:rsidRPr="00531420">
        <w:rPr>
          <w:rFonts w:cstheme="minorHAnsi"/>
          <w:b/>
          <w:bCs/>
          <w:i/>
          <w:iCs/>
        </w:rPr>
        <w:t xml:space="preserve">Popsat, jakým způsobem byla naplněna podmínka přípravy minimálně 70 % relevantního stavebního a demoličního odpadu k opětovnému použití. Je třeba uvést alespoň celkové množství relevantního odpadu (v hmotnostních jednotkách), které na stavbě vzniklo, a celkové množství z tohoto odpadu, které bylo předáno k opětovnému použití, recyklaci či k jiným druhům materiálového využití (opět v hmotnostních jednotkách), tedy provést hrubý výpočet splnění podmínky. </w:t>
      </w:r>
      <w:r>
        <w:rPr>
          <w:rFonts w:cstheme="minorHAnsi"/>
          <w:b/>
          <w:bCs/>
          <w:i/>
          <w:iCs/>
        </w:rPr>
        <w:t xml:space="preserve">K prokázání je možné použít tabulku </w:t>
      </w:r>
      <w:r w:rsidR="009D1080">
        <w:rPr>
          <w:rFonts w:cstheme="minorHAnsi"/>
          <w:b/>
          <w:bCs/>
          <w:i/>
          <w:iCs/>
        </w:rPr>
        <w:t>Vzor výpočtu odpady</w:t>
      </w:r>
      <w:r w:rsidRPr="00531420">
        <w:rPr>
          <w:rFonts w:cstheme="minorHAnsi"/>
          <w:b/>
          <w:bCs/>
          <w:i/>
          <w:iCs/>
        </w:rPr>
        <w:t>.</w:t>
      </w:r>
      <w:r w:rsidR="000A3AA4">
        <w:rPr>
          <w:rFonts w:cstheme="minorHAnsi"/>
          <w:b/>
          <w:bCs/>
          <w:i/>
          <w:iCs/>
        </w:rPr>
        <w:t xml:space="preserve"> K popisu je třeba mít k dispozici také relevantní dokumenty (vážní lístky, darovací smlouvy apod.).</w:t>
      </w:r>
    </w:p>
    <w:p w14:paraId="73A57F4E" w14:textId="77777777" w:rsidR="00E929C2" w:rsidRDefault="00E929C2" w:rsidP="00A37475">
      <w:pPr>
        <w:spacing w:after="0" w:line="276" w:lineRule="auto"/>
        <w:jc w:val="both"/>
        <w:rPr>
          <w:rFonts w:cstheme="minorHAnsi"/>
          <w:b/>
          <w:bCs/>
        </w:rPr>
      </w:pPr>
    </w:p>
    <w:p w14:paraId="6D0528B6" w14:textId="77777777" w:rsidR="000A3AA4" w:rsidRDefault="000A3AA4" w:rsidP="00A37475">
      <w:pPr>
        <w:spacing w:after="0" w:line="276" w:lineRule="auto"/>
        <w:jc w:val="both"/>
        <w:rPr>
          <w:rFonts w:cstheme="minorHAnsi"/>
          <w:b/>
          <w:bCs/>
        </w:rPr>
      </w:pPr>
    </w:p>
    <w:p w14:paraId="7A5809FB" w14:textId="015EC3C9" w:rsidR="00E929C2" w:rsidRPr="00376DE7" w:rsidRDefault="00E929C2" w:rsidP="00376DE7">
      <w:pPr>
        <w:pStyle w:val="Odstavecseseznamem"/>
        <w:numPr>
          <w:ilvl w:val="0"/>
          <w:numId w:val="4"/>
        </w:numPr>
        <w:spacing w:line="276" w:lineRule="auto"/>
        <w:jc w:val="both"/>
        <w:rPr>
          <w:rFonts w:cstheme="minorHAnsi"/>
          <w:b/>
          <w:bCs/>
          <w:u w:val="single"/>
        </w:rPr>
      </w:pPr>
      <w:r w:rsidRPr="00376DE7">
        <w:rPr>
          <w:rFonts w:cstheme="minorHAnsi"/>
          <w:b/>
          <w:bCs/>
          <w:u w:val="single"/>
        </w:rPr>
        <w:t xml:space="preserve">Prevence a omezování znečištění: </w:t>
      </w:r>
    </w:p>
    <w:p w14:paraId="185C7A10" w14:textId="1E83E8FB" w:rsidR="00B456C7" w:rsidRPr="00E929C2" w:rsidRDefault="00E929C2" w:rsidP="00A37475">
      <w:pPr>
        <w:spacing w:after="120" w:line="276" w:lineRule="auto"/>
        <w:jc w:val="both"/>
        <w:rPr>
          <w:rFonts w:cstheme="minorHAnsi"/>
        </w:rPr>
      </w:pPr>
      <w:r w:rsidRPr="00E929C2">
        <w:rPr>
          <w:rFonts w:cstheme="minorHAnsi"/>
        </w:rPr>
        <w:t>Ze stavebních prvků a materiálů použitých při stavbě, které mohou přijít do styku s uživateli, se při zkouškách v souladu s podmínkami uvedenými v příloze XVII nařízení Evropského parlamentu a Rady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w:t>
      </w:r>
    </w:p>
    <w:p w14:paraId="57B0F282" w14:textId="77777777" w:rsidR="00E929C2" w:rsidRPr="00E929C2" w:rsidRDefault="00E929C2" w:rsidP="00A37475">
      <w:pPr>
        <w:spacing w:after="120" w:line="276" w:lineRule="auto"/>
        <w:jc w:val="both"/>
        <w:rPr>
          <w:rFonts w:cstheme="minorHAnsi"/>
        </w:rPr>
      </w:pPr>
      <w:r w:rsidRPr="00E929C2">
        <w:rPr>
          <w:rFonts w:cstheme="minorHAnsi"/>
        </w:rPr>
        <w:t xml:space="preserve">Pokud je nová stavba umístěna na potenciálně kontaminovaném místě (brownfield), bylo na staveništi provedeno šetření na potenciální kontaminující látky, například podle normy ISO 18400. </w:t>
      </w:r>
    </w:p>
    <w:p w14:paraId="5A538DD8" w14:textId="7470BCA3" w:rsidR="00A14A36" w:rsidRDefault="00E929C2" w:rsidP="00B316AB">
      <w:pPr>
        <w:spacing w:after="240" w:line="276" w:lineRule="auto"/>
        <w:jc w:val="both"/>
        <w:rPr>
          <w:rFonts w:cstheme="minorHAnsi"/>
        </w:rPr>
      </w:pPr>
      <w:r w:rsidRPr="00E929C2">
        <w:rPr>
          <w:rFonts w:cstheme="minorHAnsi"/>
        </w:rPr>
        <w:t xml:space="preserve">Přijímají se opatření ke snížení hluku, prachu a emisí znečišťujících látek při stavebních nebo údržbářských pracích. </w:t>
      </w:r>
    </w:p>
    <w:p w14:paraId="018832D8" w14:textId="569D6CED" w:rsidR="00A14A36" w:rsidRPr="00A37475" w:rsidRDefault="00A37475" w:rsidP="00A37475">
      <w:pPr>
        <w:pStyle w:val="Odstavecseseznamem"/>
        <w:numPr>
          <w:ilvl w:val="0"/>
          <w:numId w:val="1"/>
        </w:numPr>
        <w:spacing w:line="276" w:lineRule="auto"/>
        <w:jc w:val="both"/>
        <w:rPr>
          <w:rFonts w:cstheme="minorHAnsi"/>
          <w:b/>
          <w:bCs/>
          <w:i/>
          <w:iCs/>
        </w:rPr>
      </w:pPr>
      <w:r>
        <w:rPr>
          <w:rFonts w:cstheme="minorHAnsi"/>
          <w:b/>
          <w:bCs/>
          <w:i/>
          <w:iCs/>
        </w:rPr>
        <w:t>Popsat</w:t>
      </w:r>
      <w:r w:rsidR="00A14A36" w:rsidRPr="00A37475">
        <w:rPr>
          <w:rFonts w:cstheme="minorHAnsi"/>
          <w:b/>
          <w:bCs/>
          <w:i/>
          <w:iCs/>
        </w:rPr>
        <w:t xml:space="preserve"> jaká byla přijata opatření ke snížení hluku, prachu a emisí znečišťujících látek při stavebních nebo údržbářských pracích, pokud jsou takové práce součásti projektu.</w:t>
      </w:r>
    </w:p>
    <w:p w14:paraId="5840DA39" w14:textId="77777777" w:rsidR="00E929C2" w:rsidRDefault="00E929C2" w:rsidP="00A37475">
      <w:pPr>
        <w:spacing w:after="0" w:line="276" w:lineRule="auto"/>
        <w:jc w:val="both"/>
        <w:rPr>
          <w:rFonts w:cstheme="minorHAnsi"/>
          <w:b/>
          <w:bCs/>
        </w:rPr>
      </w:pPr>
    </w:p>
    <w:p w14:paraId="6BAB6CF4" w14:textId="71C1E812" w:rsidR="00A37475" w:rsidRPr="00A37475" w:rsidRDefault="00A37475" w:rsidP="00A37475">
      <w:pPr>
        <w:spacing w:line="276" w:lineRule="auto"/>
        <w:jc w:val="both"/>
        <w:rPr>
          <w:rFonts w:cstheme="minorHAnsi"/>
          <w:b/>
          <w:bCs/>
          <w:i/>
          <w:iCs/>
        </w:rPr>
      </w:pPr>
    </w:p>
    <w:sectPr w:rsidR="00A37475" w:rsidRPr="00A3747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DEB26" w14:textId="77777777" w:rsidR="00DE55A3" w:rsidRDefault="00DE55A3" w:rsidP="009F47F2">
      <w:pPr>
        <w:spacing w:after="0" w:line="240" w:lineRule="auto"/>
      </w:pPr>
      <w:r>
        <w:separator/>
      </w:r>
    </w:p>
  </w:endnote>
  <w:endnote w:type="continuationSeparator" w:id="0">
    <w:p w14:paraId="1C50113D" w14:textId="77777777" w:rsidR="00DE55A3" w:rsidRDefault="00DE55A3" w:rsidP="009F4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4BF3" w14:textId="77777777" w:rsidR="00DE55A3" w:rsidRDefault="00DE55A3" w:rsidP="009F47F2">
      <w:pPr>
        <w:spacing w:after="0" w:line="240" w:lineRule="auto"/>
      </w:pPr>
      <w:r>
        <w:separator/>
      </w:r>
    </w:p>
  </w:footnote>
  <w:footnote w:type="continuationSeparator" w:id="0">
    <w:p w14:paraId="443544BE" w14:textId="77777777" w:rsidR="00DE55A3" w:rsidRDefault="00DE55A3" w:rsidP="009F47F2">
      <w:pPr>
        <w:spacing w:after="0" w:line="240" w:lineRule="auto"/>
      </w:pPr>
      <w:r>
        <w:continuationSeparator/>
      </w:r>
    </w:p>
  </w:footnote>
  <w:footnote w:id="1">
    <w:p w14:paraId="4AB19BE7" w14:textId="06DA5AAE" w:rsidR="00C543AD" w:rsidRDefault="00C543AD" w:rsidP="00C543AD">
      <w:pPr>
        <w:pStyle w:val="Textpoznpodarou"/>
        <w:jc w:val="both"/>
      </w:pPr>
      <w:r w:rsidRPr="00C543AD">
        <w:rPr>
          <w:rStyle w:val="Znakapoznpodarou"/>
          <w:sz w:val="18"/>
          <w:szCs w:val="18"/>
        </w:rPr>
        <w:footnoteRef/>
      </w:r>
      <w:r w:rsidRPr="00C543AD">
        <w:rPr>
          <w:sz w:val="18"/>
          <w:szCs w:val="18"/>
        </w:rPr>
        <w:t xml:space="preserve"> Do závazku přípravy nejméně 70 % odpadu k opětovnému využití lze započítat další druhy materiálů, které jsou ihned využity na staveništi a které se formálně nestanou odpadem dle zákona. Je možné započítat i odpad který se odpadem nestane, protože je předán k dalšímu využití jiným subjektům, např. územní samosprávné celky jej mohou poskytnout svým příspěvkovým organizacím či propojeným územním samosprávným celkům, které doloží kupní či darovací smlouvou se specifikací dalšího využití materiálu. Mezi další dokumentaci potvrzující plnění závazku DNSH patří smlouv</w:t>
      </w:r>
      <w:r w:rsidR="00EA6453">
        <w:rPr>
          <w:sz w:val="18"/>
          <w:szCs w:val="18"/>
        </w:rPr>
        <w:t>a</w:t>
      </w:r>
      <w:r w:rsidRPr="00C543AD">
        <w:rPr>
          <w:sz w:val="18"/>
          <w:szCs w:val="18"/>
        </w:rPr>
        <w:t xml:space="preserve"> o zajištění předání produkovaných stavebních a demoličních odpadů k opětovnému použití, recyklaci nebo jiným druhům materiálového využití do zařízení určeného pro nakládání s daným druhem a kategorií odpadu, nebo doklad o převzetí odpadů</w:t>
      </w:r>
      <w:r w:rsidRPr="00C543AD">
        <w:rPr>
          <w:sz w:val="19"/>
          <w:szCs w:val="19"/>
        </w:rPr>
        <w:t xml:space="preserve"> </w:t>
      </w:r>
      <w:r w:rsidRPr="00C543AD">
        <w:rPr>
          <w:sz w:val="18"/>
          <w:szCs w:val="18"/>
        </w:rPr>
        <w:t>provozovatelem zařízení apod. Max 30 % materiálu může být jako odpad uloženo na skládce či předáno k energetickému využití.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5A91D" w14:textId="61BB4349" w:rsidR="009F47F2" w:rsidRDefault="009F47F2" w:rsidP="009F47F2">
    <w:pPr>
      <w:pStyle w:val="Zhlav"/>
      <w:tabs>
        <w:tab w:val="clear" w:pos="4536"/>
        <w:tab w:val="clear" w:pos="9072"/>
        <w:tab w:val="left" w:pos="1410"/>
      </w:tabs>
      <w:jc w:val="center"/>
    </w:pPr>
    <w:r w:rsidRPr="001F5548">
      <w:rPr>
        <w:noProof/>
        <w:lang w:eastAsia="cs-CZ"/>
      </w:rPr>
      <w:drawing>
        <wp:anchor distT="0" distB="0" distL="114300" distR="114300" simplePos="0" relativeHeight="251658240" behindDoc="1" locked="0" layoutInCell="1" allowOverlap="1" wp14:anchorId="71BB4DC0" wp14:editId="4AC4248E">
          <wp:simplePos x="0" y="0"/>
          <wp:positionH relativeFrom="margin">
            <wp:align>center</wp:align>
          </wp:positionH>
          <wp:positionV relativeFrom="paragraph">
            <wp:posOffset>-211455</wp:posOffset>
          </wp:positionV>
          <wp:extent cx="5166360" cy="704850"/>
          <wp:effectExtent l="0" t="0" r="0" b="0"/>
          <wp:wrapTight wrapText="bothSides">
            <wp:wrapPolygon edited="0">
              <wp:start x="0" y="0"/>
              <wp:lineTo x="0" y="21016"/>
              <wp:lineTo x="21504" y="21016"/>
              <wp:lineTo x="21504" y="0"/>
              <wp:lineTo x="0" y="0"/>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166360" cy="704850"/>
                  </a:xfrm>
                  <a:prstGeom prst="rect">
                    <a:avLst/>
                  </a:prstGeom>
                </pic:spPr>
              </pic:pic>
            </a:graphicData>
          </a:graphic>
          <wp14:sizeRelH relativeFrom="margin">
            <wp14:pctWidth>0</wp14:pctWidth>
          </wp14:sizeRelH>
          <wp14:sizeRelV relativeFrom="margin">
            <wp14:pctHeight>0</wp14:pctHeight>
          </wp14:sizeRelV>
        </wp:anchor>
      </w:drawing>
    </w:r>
  </w:p>
  <w:p w14:paraId="3266D9FD" w14:textId="2D73F2C0" w:rsidR="009F47F2" w:rsidRDefault="009F47F2" w:rsidP="009F47F2">
    <w:pPr>
      <w:pStyle w:val="Zhlav"/>
      <w:tabs>
        <w:tab w:val="clear" w:pos="4536"/>
        <w:tab w:val="clear" w:pos="9072"/>
        <w:tab w:val="left" w:pos="141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F7F4E"/>
    <w:multiLevelType w:val="hybridMultilevel"/>
    <w:tmpl w:val="61242B92"/>
    <w:lvl w:ilvl="0" w:tplc="5694DF9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38350936"/>
    <w:multiLevelType w:val="hybridMultilevel"/>
    <w:tmpl w:val="30EA11E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40A775A8"/>
    <w:multiLevelType w:val="hybridMultilevel"/>
    <w:tmpl w:val="C960140E"/>
    <w:lvl w:ilvl="0" w:tplc="1F58E20E">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5B436EAB"/>
    <w:multiLevelType w:val="hybridMultilevel"/>
    <w:tmpl w:val="8B2C7B8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43263098">
    <w:abstractNumId w:val="2"/>
  </w:num>
  <w:num w:numId="2" w16cid:durableId="339090172">
    <w:abstractNumId w:val="3"/>
  </w:num>
  <w:num w:numId="3" w16cid:durableId="1400177971">
    <w:abstractNumId w:val="1"/>
  </w:num>
  <w:num w:numId="4" w16cid:durableId="1728140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9FA"/>
    <w:rsid w:val="000A3AA4"/>
    <w:rsid w:val="001D5922"/>
    <w:rsid w:val="00376DE7"/>
    <w:rsid w:val="00486650"/>
    <w:rsid w:val="004E2DA3"/>
    <w:rsid w:val="00531420"/>
    <w:rsid w:val="005A14F3"/>
    <w:rsid w:val="00613A87"/>
    <w:rsid w:val="00654C00"/>
    <w:rsid w:val="006E6CCB"/>
    <w:rsid w:val="009D1080"/>
    <w:rsid w:val="009F47F2"/>
    <w:rsid w:val="00A14A36"/>
    <w:rsid w:val="00A37475"/>
    <w:rsid w:val="00B316AB"/>
    <w:rsid w:val="00B456C7"/>
    <w:rsid w:val="00C10EAC"/>
    <w:rsid w:val="00C319FA"/>
    <w:rsid w:val="00C543AD"/>
    <w:rsid w:val="00CD0DC5"/>
    <w:rsid w:val="00D04B84"/>
    <w:rsid w:val="00D132BD"/>
    <w:rsid w:val="00DE55A3"/>
    <w:rsid w:val="00E929C2"/>
    <w:rsid w:val="00EA6453"/>
    <w:rsid w:val="00F97B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E3BD9"/>
  <w15:chartTrackingRefBased/>
  <w15:docId w15:val="{483F1FA3-E675-4793-A9D6-7086A1B1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F4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F47F2"/>
  </w:style>
  <w:style w:type="paragraph" w:styleId="Zpat">
    <w:name w:val="footer"/>
    <w:basedOn w:val="Normln"/>
    <w:link w:val="ZpatChar"/>
    <w:uiPriority w:val="99"/>
    <w:unhideWhenUsed/>
    <w:rsid w:val="009F4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9F47F2"/>
  </w:style>
  <w:style w:type="paragraph" w:styleId="Odstavecseseznamem">
    <w:name w:val="List Paragraph"/>
    <w:basedOn w:val="Normln"/>
    <w:uiPriority w:val="34"/>
    <w:qFormat/>
    <w:rsid w:val="00531420"/>
    <w:pPr>
      <w:ind w:left="720"/>
      <w:contextualSpacing/>
    </w:pPr>
  </w:style>
  <w:style w:type="paragraph" w:styleId="Textvysvtlivek">
    <w:name w:val="endnote text"/>
    <w:basedOn w:val="Normln"/>
    <w:link w:val="TextvysvtlivekChar"/>
    <w:uiPriority w:val="99"/>
    <w:semiHidden/>
    <w:unhideWhenUsed/>
    <w:rsid w:val="00C543AD"/>
    <w:pPr>
      <w:spacing w:after="0" w:line="240" w:lineRule="auto"/>
    </w:pPr>
    <w:rPr>
      <w:sz w:val="20"/>
      <w:szCs w:val="20"/>
    </w:rPr>
  </w:style>
  <w:style w:type="character" w:customStyle="1" w:styleId="TextvysvtlivekChar">
    <w:name w:val="Text vysvětlivek Char"/>
    <w:basedOn w:val="Standardnpsmoodstavce"/>
    <w:link w:val="Textvysvtlivek"/>
    <w:uiPriority w:val="99"/>
    <w:semiHidden/>
    <w:rsid w:val="00C543AD"/>
    <w:rPr>
      <w:sz w:val="20"/>
      <w:szCs w:val="20"/>
    </w:rPr>
  </w:style>
  <w:style w:type="character" w:styleId="Odkaznavysvtlivky">
    <w:name w:val="endnote reference"/>
    <w:basedOn w:val="Standardnpsmoodstavce"/>
    <w:uiPriority w:val="99"/>
    <w:semiHidden/>
    <w:unhideWhenUsed/>
    <w:rsid w:val="00C543AD"/>
    <w:rPr>
      <w:vertAlign w:val="superscript"/>
    </w:rPr>
  </w:style>
  <w:style w:type="paragraph" w:styleId="Textpoznpodarou">
    <w:name w:val="footnote text"/>
    <w:basedOn w:val="Normln"/>
    <w:link w:val="TextpoznpodarouChar"/>
    <w:uiPriority w:val="99"/>
    <w:semiHidden/>
    <w:unhideWhenUsed/>
    <w:rsid w:val="00C543A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543AD"/>
    <w:rPr>
      <w:sz w:val="20"/>
      <w:szCs w:val="20"/>
    </w:rPr>
  </w:style>
  <w:style w:type="character" w:styleId="Znakapoznpodarou">
    <w:name w:val="footnote reference"/>
    <w:basedOn w:val="Standardnpsmoodstavce"/>
    <w:uiPriority w:val="99"/>
    <w:semiHidden/>
    <w:unhideWhenUsed/>
    <w:rsid w:val="00C543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79795">
      <w:bodyDiv w:val="1"/>
      <w:marLeft w:val="0"/>
      <w:marRight w:val="0"/>
      <w:marTop w:val="0"/>
      <w:marBottom w:val="0"/>
      <w:divBdr>
        <w:top w:val="none" w:sz="0" w:space="0" w:color="auto"/>
        <w:left w:val="none" w:sz="0" w:space="0" w:color="auto"/>
        <w:bottom w:val="none" w:sz="0" w:space="0" w:color="auto"/>
        <w:right w:val="none" w:sz="0" w:space="0" w:color="auto"/>
      </w:divBdr>
    </w:div>
    <w:div w:id="83499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A9C69-6703-4211-BB92-7C1B3A46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553</Words>
  <Characters>3265</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Baroňová Lucie | Dotacni.info</dc:creator>
  <cp:keywords/>
  <dc:description/>
  <cp:lastModifiedBy>Baroňová Lucie | Dotacni.info</cp:lastModifiedBy>
  <cp:revision>11</cp:revision>
  <dcterms:created xsi:type="dcterms:W3CDTF">2024-09-11T06:49:00Z</dcterms:created>
  <dcterms:modified xsi:type="dcterms:W3CDTF">2025-05-28T07:55:00Z</dcterms:modified>
</cp:coreProperties>
</file>